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BA" w:rsidRPr="00A10021" w:rsidRDefault="00B026BA" w:rsidP="00B026BA">
      <w:pPr>
        <w:spacing w:after="0"/>
        <w:jc w:val="center"/>
        <w:rPr>
          <w:rFonts w:ascii="Times New Roman" w:hAnsi="Times New Roman" w:cs="Times New Roman"/>
        </w:rPr>
      </w:pPr>
      <w:r w:rsidRPr="00A10021">
        <w:rPr>
          <w:rFonts w:ascii="Times New Roman" w:hAnsi="Times New Roman"/>
          <w:b/>
        </w:rPr>
        <w:t xml:space="preserve">THE INFORMATIONAL </w:t>
      </w:r>
      <w:r>
        <w:rPr>
          <w:rFonts w:ascii="Times New Roman" w:hAnsi="Times New Roman"/>
          <w:b/>
        </w:rPr>
        <w:t>CORRLINKS NEWSLETTER (ICON) # 80</w:t>
      </w:r>
    </w:p>
    <w:p w:rsidR="00B026BA" w:rsidRPr="00A10021" w:rsidRDefault="00B026BA" w:rsidP="00B026BA">
      <w:pPr>
        <w:spacing w:after="0"/>
        <w:jc w:val="center"/>
        <w:rPr>
          <w:rFonts w:ascii="Times New Roman" w:hAnsi="Times New Roman"/>
          <w:b/>
        </w:rPr>
      </w:pPr>
      <w:r>
        <w:rPr>
          <w:rFonts w:ascii="Times New Roman" w:hAnsi="Times New Roman"/>
          <w:b/>
        </w:rPr>
        <w:t xml:space="preserve">JUNE 2022 – </w:t>
      </w:r>
      <w:r w:rsidR="00E8391C">
        <w:rPr>
          <w:rFonts w:ascii="Times New Roman" w:hAnsi="Times New Roman"/>
          <w:b/>
        </w:rPr>
        <w:t>MORE TREATMENT NEWS, CAN AN RC BE A LANDLORD?</w:t>
      </w:r>
    </w:p>
    <w:p w:rsidR="00B026BA" w:rsidRPr="00A10021" w:rsidRDefault="00B026BA" w:rsidP="00B026BA">
      <w:pPr>
        <w:spacing w:after="0"/>
        <w:jc w:val="both"/>
        <w:rPr>
          <w:rFonts w:ascii="Times New Roman" w:hAnsi="Times New Roman"/>
        </w:rPr>
      </w:pPr>
    </w:p>
    <w:p w:rsidR="00B026BA" w:rsidRPr="00A10021" w:rsidRDefault="00B026BA" w:rsidP="00B026BA">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w:t>
      </w:r>
      <w:r>
        <w:rPr>
          <w:rFonts w:ascii="Times New Roman" w:hAnsi="Times New Roman"/>
        </w:rPr>
        <w:t>in separate</w:t>
      </w:r>
      <w:r w:rsidRPr="00A10021">
        <w:rPr>
          <w:rFonts w:ascii="Times New Roman" w:hAnsi="Times New Roman"/>
        </w:rPr>
        <w:t xml:space="preserve">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w:t>
      </w:r>
      <w:r>
        <w:rPr>
          <w:rFonts w:ascii="Times New Roman" w:hAnsi="Times New Roman"/>
        </w:rPr>
        <w:t xml:space="preserve"> or to Derek Logue, 2211 CR</w:t>
      </w:r>
      <w:r w:rsidRPr="00A10021">
        <w:rPr>
          <w:rFonts w:ascii="Times New Roman" w:hAnsi="Times New Roman"/>
        </w:rPr>
        <w:t xml:space="preserve"> 400, </w:t>
      </w:r>
      <w:proofErr w:type="gramStart"/>
      <w:r w:rsidRPr="00A10021">
        <w:rPr>
          <w:rFonts w:ascii="Times New Roman" w:hAnsi="Times New Roman"/>
        </w:rPr>
        <w:t>Tobias</w:t>
      </w:r>
      <w:proofErr w:type="gramEnd"/>
      <w:r w:rsidRPr="00A10021">
        <w:rPr>
          <w:rFonts w:ascii="Times New Roman" w:hAnsi="Times New Roman"/>
        </w:rPr>
        <w:t xml:space="preserve"> NE 68453. </w:t>
      </w:r>
      <w:r>
        <w:rPr>
          <w:rFonts w:ascii="Times New Roman" w:hAnsi="Times New Roman"/>
        </w:rPr>
        <w:t>My</w:t>
      </w:r>
      <w:r w:rsidRPr="00A10021">
        <w:rPr>
          <w:rFonts w:ascii="Times New Roman" w:hAnsi="Times New Roman"/>
        </w:rPr>
        <w:t xml:space="preserve"> focu</w:t>
      </w:r>
      <w:r>
        <w:rPr>
          <w:rFonts w:ascii="Times New Roman" w:hAnsi="Times New Roman"/>
        </w:rPr>
        <w:t>s is SO laws; I don’t advise/</w:t>
      </w:r>
      <w:r w:rsidRPr="00A10021">
        <w:rPr>
          <w:rFonts w:ascii="Times New Roman" w:hAnsi="Times New Roman"/>
        </w:rPr>
        <w:t>assist on appeals, sentencing issues, non-SO news, &amp; services like people-find</w:t>
      </w:r>
      <w:r>
        <w:rPr>
          <w:rFonts w:ascii="Times New Roman" w:hAnsi="Times New Roman"/>
        </w:rPr>
        <w:t xml:space="preserve">ing, </w:t>
      </w:r>
      <w:proofErr w:type="spellStart"/>
      <w:r>
        <w:rPr>
          <w:rFonts w:ascii="Times New Roman" w:hAnsi="Times New Roman"/>
        </w:rPr>
        <w:t>penpals</w:t>
      </w:r>
      <w:proofErr w:type="spellEnd"/>
      <w:r>
        <w:rPr>
          <w:rFonts w:ascii="Times New Roman" w:hAnsi="Times New Roman"/>
        </w:rPr>
        <w:t xml:space="preserve"> &amp; mail forwarding.</w:t>
      </w:r>
    </w:p>
    <w:p w:rsidR="00B026BA" w:rsidRPr="00A10021" w:rsidRDefault="00B026BA" w:rsidP="00B026BA">
      <w:pPr>
        <w:spacing w:after="0"/>
        <w:jc w:val="both"/>
        <w:rPr>
          <w:rFonts w:ascii="Times New Roman" w:hAnsi="Times New Roman"/>
        </w:rPr>
      </w:pPr>
    </w:p>
    <w:p w:rsidR="00B026BA" w:rsidRDefault="00B026BA" w:rsidP="00B026BA">
      <w:pPr>
        <w:spacing w:after="0"/>
        <w:rPr>
          <w:rFonts w:ascii="Times New Roman" w:hAnsi="Times New Roman" w:cs="Times New Roman"/>
          <w:b/>
        </w:rPr>
      </w:pPr>
      <w:r w:rsidRPr="00A10021">
        <w:rPr>
          <w:rFonts w:ascii="Times New Roman" w:hAnsi="Times New Roman" w:cs="Times New Roman"/>
          <w:b/>
        </w:rPr>
        <w:t>LEGAL ROUNDUP</w:t>
      </w:r>
    </w:p>
    <w:p w:rsidR="00B026BA" w:rsidRDefault="00B026BA" w:rsidP="00B026BA">
      <w:pPr>
        <w:spacing w:after="0"/>
        <w:rPr>
          <w:rFonts w:ascii="Times New Roman" w:hAnsi="Times New Roman" w:cs="Times New Roman"/>
          <w:b/>
        </w:rPr>
      </w:pPr>
    </w:p>
    <w:p w:rsidR="00B026BA" w:rsidRDefault="00B026BA" w:rsidP="00B026BA">
      <w:pPr>
        <w:spacing w:after="0"/>
        <w:jc w:val="both"/>
        <w:rPr>
          <w:rFonts w:ascii="Times New Roman" w:hAnsi="Times New Roman" w:cs="Times New Roman"/>
        </w:rPr>
      </w:pPr>
      <w:r w:rsidRPr="00B026BA">
        <w:rPr>
          <w:rFonts w:ascii="Times New Roman" w:hAnsi="Times New Roman" w:cs="Times New Roman"/>
          <w:i/>
        </w:rPr>
        <w:t>Gamble v. Minnesota</w:t>
      </w:r>
      <w:r w:rsidR="00131D66" w:rsidRPr="00131D66">
        <w:rPr>
          <w:rFonts w:ascii="Times New Roman" w:hAnsi="Times New Roman" w:cs="Times New Roman"/>
          <w:i/>
        </w:rPr>
        <w:t xml:space="preserve"> State-Operated Services</w:t>
      </w:r>
      <w:r>
        <w:rPr>
          <w:rFonts w:ascii="Times New Roman" w:hAnsi="Times New Roman" w:cs="Times New Roman"/>
        </w:rPr>
        <w:t xml:space="preserve">, </w:t>
      </w:r>
      <w:r w:rsidRPr="00B026BA">
        <w:rPr>
          <w:rFonts w:ascii="Times New Roman" w:hAnsi="Times New Roman" w:cs="Times New Roman"/>
        </w:rPr>
        <w:t>Case No. 21-2626</w:t>
      </w:r>
      <w:r>
        <w:rPr>
          <w:rFonts w:ascii="Times New Roman" w:hAnsi="Times New Roman" w:cs="Times New Roman"/>
        </w:rPr>
        <w:t xml:space="preserve"> (8th Cir 2022): </w:t>
      </w:r>
      <w:r w:rsidRPr="00B026BA">
        <w:rPr>
          <w:rFonts w:ascii="Times New Roman" w:hAnsi="Times New Roman" w:cs="Times New Roman"/>
        </w:rPr>
        <w:t>Civ</w:t>
      </w:r>
      <w:r>
        <w:rPr>
          <w:rFonts w:ascii="Times New Roman" w:hAnsi="Times New Roman" w:cs="Times New Roman"/>
        </w:rPr>
        <w:t xml:space="preserve">il detainees who participate in </w:t>
      </w:r>
      <w:r w:rsidRPr="00B026BA">
        <w:rPr>
          <w:rFonts w:ascii="Times New Roman" w:hAnsi="Times New Roman" w:cs="Times New Roman"/>
        </w:rPr>
        <w:t>voluntary Vocational Work Program in th</w:t>
      </w:r>
      <w:r>
        <w:rPr>
          <w:rFonts w:ascii="Times New Roman" w:hAnsi="Times New Roman" w:cs="Times New Roman"/>
        </w:rPr>
        <w:t xml:space="preserve">e MSOP </w:t>
      </w:r>
      <w:r w:rsidRPr="00B026BA">
        <w:rPr>
          <w:rFonts w:ascii="Times New Roman" w:hAnsi="Times New Roman" w:cs="Times New Roman"/>
        </w:rPr>
        <w:t>sued state defendants that they failed to pay m</w:t>
      </w:r>
      <w:r>
        <w:rPr>
          <w:rFonts w:ascii="Times New Roman" w:hAnsi="Times New Roman" w:cs="Times New Roman"/>
        </w:rPr>
        <w:t xml:space="preserve">inimum wage under the Fair </w:t>
      </w:r>
      <w:r w:rsidRPr="00B026BA">
        <w:rPr>
          <w:rFonts w:ascii="Times New Roman" w:hAnsi="Times New Roman" w:cs="Times New Roman"/>
        </w:rPr>
        <w:t xml:space="preserve">Labor Standards Act. Detainees are </w:t>
      </w:r>
      <w:r>
        <w:rPr>
          <w:rFonts w:ascii="Times New Roman" w:hAnsi="Times New Roman" w:cs="Times New Roman"/>
        </w:rPr>
        <w:t xml:space="preserve">paid $10 per hour but the state </w:t>
      </w:r>
      <w:r w:rsidRPr="00B026BA">
        <w:rPr>
          <w:rFonts w:ascii="Times New Roman" w:hAnsi="Times New Roman" w:cs="Times New Roman"/>
        </w:rPr>
        <w:t>withholds up to 50% of the wages for the c</w:t>
      </w:r>
      <w:r>
        <w:rPr>
          <w:rFonts w:ascii="Times New Roman" w:hAnsi="Times New Roman" w:cs="Times New Roman"/>
        </w:rPr>
        <w:t xml:space="preserve">ost of their care. The district </w:t>
      </w:r>
      <w:r w:rsidRPr="00B026BA">
        <w:rPr>
          <w:rFonts w:ascii="Times New Roman" w:hAnsi="Times New Roman" w:cs="Times New Roman"/>
        </w:rPr>
        <w:t>court concluded the detainees were not e</w:t>
      </w:r>
      <w:r>
        <w:rPr>
          <w:rFonts w:ascii="Times New Roman" w:hAnsi="Times New Roman" w:cs="Times New Roman"/>
        </w:rPr>
        <w:t xml:space="preserve">mployees and alternatively that </w:t>
      </w:r>
      <w:r w:rsidRPr="00B026BA">
        <w:rPr>
          <w:rFonts w:ascii="Times New Roman" w:hAnsi="Times New Roman" w:cs="Times New Roman"/>
        </w:rPr>
        <w:t>defendants were immune under the Portal-to-</w:t>
      </w:r>
      <w:r>
        <w:rPr>
          <w:rFonts w:ascii="Times New Roman" w:hAnsi="Times New Roman" w:cs="Times New Roman"/>
        </w:rPr>
        <w:t xml:space="preserve">Portal Act. Sexually dangerous </w:t>
      </w:r>
      <w:r w:rsidRPr="00B026BA">
        <w:rPr>
          <w:rFonts w:ascii="Times New Roman" w:hAnsi="Times New Roman" w:cs="Times New Roman"/>
        </w:rPr>
        <w:t>civil detainees are not state employ</w:t>
      </w:r>
      <w:r>
        <w:rPr>
          <w:rFonts w:ascii="Times New Roman" w:hAnsi="Times New Roman" w:cs="Times New Roman"/>
        </w:rPr>
        <w:t xml:space="preserve">ees, there is not bargained-for </w:t>
      </w:r>
      <w:r w:rsidRPr="00B026BA">
        <w:rPr>
          <w:rFonts w:ascii="Times New Roman" w:hAnsi="Times New Roman" w:cs="Times New Roman"/>
        </w:rPr>
        <w:t>exchange of labor for mutual economi</w:t>
      </w:r>
      <w:r>
        <w:rPr>
          <w:rFonts w:ascii="Times New Roman" w:hAnsi="Times New Roman" w:cs="Times New Roman"/>
        </w:rPr>
        <w:t xml:space="preserve">c gain; detainees are under the </w:t>
      </w:r>
      <w:r w:rsidRPr="00B026BA">
        <w:rPr>
          <w:rFonts w:ascii="Times New Roman" w:hAnsi="Times New Roman" w:cs="Times New Roman"/>
        </w:rPr>
        <w:t>control and supervision of the detention facility; the</w:t>
      </w:r>
      <w:r>
        <w:rPr>
          <w:rFonts w:ascii="Times New Roman" w:hAnsi="Times New Roman" w:cs="Times New Roman"/>
        </w:rPr>
        <w:t xml:space="preserve"> purpose of the </w:t>
      </w:r>
      <w:r w:rsidRPr="00B026BA">
        <w:rPr>
          <w:rFonts w:ascii="Times New Roman" w:hAnsi="Times New Roman" w:cs="Times New Roman"/>
        </w:rPr>
        <w:t>program is to provide treatment; the pro</w:t>
      </w:r>
      <w:r>
        <w:rPr>
          <w:rFonts w:ascii="Times New Roman" w:hAnsi="Times New Roman" w:cs="Times New Roman"/>
        </w:rPr>
        <w:t xml:space="preserve">gram does not generate profits; </w:t>
      </w:r>
      <w:r w:rsidRPr="00B026BA">
        <w:rPr>
          <w:rFonts w:ascii="Times New Roman" w:hAnsi="Times New Roman" w:cs="Times New Roman"/>
        </w:rPr>
        <w:t xml:space="preserve">the detainees have their basic needs met </w:t>
      </w:r>
      <w:r>
        <w:rPr>
          <w:rFonts w:ascii="Times New Roman" w:hAnsi="Times New Roman" w:cs="Times New Roman"/>
        </w:rPr>
        <w:t xml:space="preserve">by the state, including medical </w:t>
      </w:r>
      <w:r w:rsidRPr="00B026BA">
        <w:rPr>
          <w:rFonts w:ascii="Times New Roman" w:hAnsi="Times New Roman" w:cs="Times New Roman"/>
        </w:rPr>
        <w:t>care and meals. The detainees' arguments t</w:t>
      </w:r>
      <w:r>
        <w:rPr>
          <w:rFonts w:ascii="Times New Roman" w:hAnsi="Times New Roman" w:cs="Times New Roman"/>
        </w:rPr>
        <w:t xml:space="preserve">hat used of their labor creates </w:t>
      </w:r>
      <w:r w:rsidRPr="00B026BA">
        <w:rPr>
          <w:rFonts w:ascii="Times New Roman" w:hAnsi="Times New Roman" w:cs="Times New Roman"/>
        </w:rPr>
        <w:t xml:space="preserve">unfair competition is not convincing, </w:t>
      </w:r>
      <w:r>
        <w:rPr>
          <w:rFonts w:ascii="Times New Roman" w:hAnsi="Times New Roman" w:cs="Times New Roman"/>
        </w:rPr>
        <w:t xml:space="preserve">as the program does not provide </w:t>
      </w:r>
      <w:r w:rsidRPr="00B026BA">
        <w:rPr>
          <w:rFonts w:ascii="Times New Roman" w:hAnsi="Times New Roman" w:cs="Times New Roman"/>
        </w:rPr>
        <w:t>goods or services to private entities an</w:t>
      </w:r>
      <w:r>
        <w:rPr>
          <w:rFonts w:ascii="Times New Roman" w:hAnsi="Times New Roman" w:cs="Times New Roman"/>
        </w:rPr>
        <w:t xml:space="preserve">d program must consult with the </w:t>
      </w:r>
      <w:r w:rsidRPr="00B026BA">
        <w:rPr>
          <w:rFonts w:ascii="Times New Roman" w:hAnsi="Times New Roman" w:cs="Times New Roman"/>
        </w:rPr>
        <w:t>labor market to ensure the activities a</w:t>
      </w:r>
      <w:r>
        <w:rPr>
          <w:rFonts w:ascii="Times New Roman" w:hAnsi="Times New Roman" w:cs="Times New Roman"/>
        </w:rPr>
        <w:t xml:space="preserve">re in the best interests of the </w:t>
      </w:r>
      <w:r w:rsidRPr="00B026BA">
        <w:rPr>
          <w:rFonts w:ascii="Times New Roman" w:hAnsi="Times New Roman" w:cs="Times New Roman"/>
        </w:rPr>
        <w:t>stakeholders. Because the detainees are no</w:t>
      </w:r>
      <w:r>
        <w:rPr>
          <w:rFonts w:ascii="Times New Roman" w:hAnsi="Times New Roman" w:cs="Times New Roman"/>
        </w:rPr>
        <w:t xml:space="preserve">t employees, we need not decide </w:t>
      </w:r>
      <w:r w:rsidRPr="00B026BA">
        <w:rPr>
          <w:rFonts w:ascii="Times New Roman" w:hAnsi="Times New Roman" w:cs="Times New Roman"/>
        </w:rPr>
        <w:t>if defendants are immune.</w:t>
      </w:r>
    </w:p>
    <w:p w:rsidR="00B026BA" w:rsidRDefault="00B026BA" w:rsidP="00B026BA">
      <w:pPr>
        <w:spacing w:after="0"/>
        <w:jc w:val="both"/>
        <w:rPr>
          <w:rFonts w:ascii="Times New Roman" w:hAnsi="Times New Roman" w:cs="Times New Roman"/>
        </w:rPr>
      </w:pPr>
    </w:p>
    <w:p w:rsidR="00B026BA" w:rsidRDefault="00B026BA" w:rsidP="00B026BA">
      <w:pPr>
        <w:spacing w:after="0"/>
        <w:jc w:val="both"/>
        <w:rPr>
          <w:rFonts w:ascii="Times New Roman" w:hAnsi="Times New Roman" w:cs="Times New Roman"/>
        </w:rPr>
      </w:pPr>
      <w:r w:rsidRPr="00B026BA">
        <w:rPr>
          <w:rFonts w:ascii="Times New Roman" w:hAnsi="Times New Roman" w:cs="Times New Roman"/>
          <w:i/>
        </w:rPr>
        <w:t xml:space="preserve">Alvarez v. </w:t>
      </w:r>
      <w:proofErr w:type="spellStart"/>
      <w:r w:rsidRPr="00B026BA">
        <w:rPr>
          <w:rFonts w:ascii="Times New Roman" w:hAnsi="Times New Roman" w:cs="Times New Roman"/>
          <w:i/>
        </w:rPr>
        <w:t>Annucci</w:t>
      </w:r>
      <w:proofErr w:type="spellEnd"/>
      <w:r>
        <w:rPr>
          <w:rFonts w:ascii="Times New Roman" w:hAnsi="Times New Roman" w:cs="Times New Roman"/>
        </w:rPr>
        <w:t>, No. 50 SSM 35 (NY</w:t>
      </w:r>
      <w:r w:rsidRPr="00B026BA">
        <w:rPr>
          <w:rFonts w:ascii="Times New Roman" w:hAnsi="Times New Roman" w:cs="Times New Roman"/>
        </w:rPr>
        <w:t xml:space="preserve"> 2022)</w:t>
      </w:r>
      <w:r>
        <w:rPr>
          <w:rFonts w:ascii="Times New Roman" w:hAnsi="Times New Roman" w:cs="Times New Roman"/>
        </w:rPr>
        <w:t xml:space="preserve">: </w:t>
      </w:r>
      <w:r w:rsidRPr="00B026BA">
        <w:rPr>
          <w:rFonts w:ascii="Times New Roman" w:hAnsi="Times New Roman" w:cs="Times New Roman"/>
        </w:rPr>
        <w:t>Petitioner pleaded guilty to sexual abuse of a child, was sentenced to three years’ imprisonment and seven years’ post-release supervision, and was ultimately adjudicated as a</w:t>
      </w:r>
      <w:r>
        <w:rPr>
          <w:rFonts w:ascii="Times New Roman" w:hAnsi="Times New Roman" w:cs="Times New Roman"/>
        </w:rPr>
        <w:t xml:space="preserve"> level one offender under SORA</w:t>
      </w:r>
      <w:r w:rsidRPr="00B026BA">
        <w:rPr>
          <w:rFonts w:ascii="Times New Roman" w:hAnsi="Times New Roman" w:cs="Times New Roman"/>
        </w:rPr>
        <w:t>. As a result, the Board of Parole imposed various conditions on Petitioner including Sexual Assault Reform Act (“SARA”) residency restrictions. Due to these restrictions, after serving a full prison term, Petitioner was not placed in a residence shelter in his city of choice and was instead transferred to two correctional facilities, referred to as “residential treatment facilities.”</w:t>
      </w:r>
      <w:r>
        <w:rPr>
          <w:rFonts w:ascii="Times New Roman" w:hAnsi="Times New Roman" w:cs="Times New Roman"/>
        </w:rPr>
        <w:t xml:space="preserve"> </w:t>
      </w:r>
      <w:r w:rsidRPr="00B026BA">
        <w:rPr>
          <w:rFonts w:ascii="Times New Roman" w:hAnsi="Times New Roman" w:cs="Times New Roman"/>
        </w:rPr>
        <w:t>Petitioner brought a CPLR Article 78 proceeding seeking to compel the Acting Commissioner of New York State Department of Corrections and Community Supervision to release him.  Petitioner argued that he cannot lawfully be kept confined for a failure to secure SARA-compliant housing because SARA’s residency restrictions do not apply to him since he is neither on conditional release nor subject to parole.</w:t>
      </w:r>
      <w:r>
        <w:rPr>
          <w:rFonts w:ascii="Times New Roman" w:hAnsi="Times New Roman" w:cs="Times New Roman"/>
        </w:rPr>
        <w:t xml:space="preserve"> </w:t>
      </w:r>
      <w:r w:rsidRPr="00B026BA">
        <w:rPr>
          <w:rFonts w:ascii="Times New Roman" w:hAnsi="Times New Roman" w:cs="Times New Roman"/>
        </w:rPr>
        <w:t>The Court of Appeals affirmed the lower court decisions that Petitioner has not established a clear legal right to relief and held that residency restrictions of SARA applied equally to eligible offenders released on parole, conditionally released, or subject to period of post-release supervision.</w:t>
      </w:r>
    </w:p>
    <w:p w:rsidR="00B026BA" w:rsidRDefault="00B026BA" w:rsidP="00B026BA">
      <w:pPr>
        <w:spacing w:after="0"/>
        <w:jc w:val="both"/>
        <w:rPr>
          <w:rFonts w:ascii="Times New Roman" w:hAnsi="Times New Roman" w:cs="Times New Roman"/>
        </w:rPr>
      </w:pPr>
    </w:p>
    <w:p w:rsidR="00B026BA" w:rsidRDefault="00B026BA" w:rsidP="00B026BA">
      <w:pPr>
        <w:spacing w:after="0"/>
        <w:jc w:val="both"/>
        <w:rPr>
          <w:rFonts w:ascii="Times New Roman" w:hAnsi="Times New Roman" w:cs="Times New Roman"/>
        </w:rPr>
      </w:pPr>
      <w:r w:rsidRPr="00C55400">
        <w:rPr>
          <w:rFonts w:ascii="Times New Roman" w:hAnsi="Times New Roman" w:cs="Times New Roman"/>
          <w:i/>
        </w:rPr>
        <w:t>Powers v. Doll</w:t>
      </w:r>
      <w:r w:rsidRPr="00B026BA">
        <w:rPr>
          <w:rFonts w:ascii="Times New Roman" w:hAnsi="Times New Roman" w:cs="Times New Roman"/>
        </w:rPr>
        <w:t>, et al., No. 20-MR-424 (Ill. Ct. App. 2022)</w:t>
      </w:r>
      <w:r>
        <w:rPr>
          <w:rFonts w:ascii="Times New Roman" w:hAnsi="Times New Roman" w:cs="Times New Roman"/>
        </w:rPr>
        <w:t xml:space="preserve">: </w:t>
      </w:r>
      <w:r w:rsidRPr="00B026BA">
        <w:rPr>
          <w:rFonts w:ascii="Times New Roman" w:hAnsi="Times New Roman" w:cs="Times New Roman"/>
        </w:rPr>
        <w:t>The Court affirmed the decision of the circuit court holding that an individual presently committed und</w:t>
      </w:r>
      <w:r w:rsidR="00C55400">
        <w:rPr>
          <w:rFonts w:ascii="Times New Roman" w:hAnsi="Times New Roman" w:cs="Times New Roman"/>
        </w:rPr>
        <w:t>er the SVP Commitment Act</w:t>
      </w:r>
      <w:r w:rsidRPr="00B026BA">
        <w:rPr>
          <w:rFonts w:ascii="Times New Roman" w:hAnsi="Times New Roman" w:cs="Times New Roman"/>
        </w:rPr>
        <w:t xml:space="preserve"> may not file suit for legal malpractice without first alleging that he is not, in fact, a “sexually violent person.”  In so holding the Court stated that “just as a criminal defendant cannot state a claim for legal malpractice </w:t>
      </w:r>
      <w:r w:rsidRPr="00B026BA">
        <w:rPr>
          <w:rFonts w:ascii="Times New Roman" w:hAnsi="Times New Roman" w:cs="Times New Roman"/>
        </w:rPr>
        <w:lastRenderedPageBreak/>
        <w:t>without asserting actual innocence…an SVP must plead that he is not an SVP in order to assert a claim for damages arising from legal malpractice in the underlying SVP proceedings.”</w:t>
      </w:r>
    </w:p>
    <w:p w:rsidR="00C55400" w:rsidRDefault="00C55400" w:rsidP="00B026BA">
      <w:pPr>
        <w:spacing w:after="0"/>
        <w:jc w:val="both"/>
        <w:rPr>
          <w:rFonts w:ascii="Times New Roman" w:hAnsi="Times New Roman" w:cs="Times New Roman"/>
        </w:rPr>
      </w:pPr>
    </w:p>
    <w:p w:rsidR="00C55400" w:rsidRDefault="00C55400" w:rsidP="00B026BA">
      <w:pPr>
        <w:spacing w:after="0"/>
        <w:jc w:val="both"/>
        <w:rPr>
          <w:rFonts w:ascii="Times New Roman" w:hAnsi="Times New Roman" w:cs="Times New Roman"/>
        </w:rPr>
      </w:pPr>
      <w:r w:rsidRPr="00C55400">
        <w:rPr>
          <w:rFonts w:ascii="Times New Roman" w:hAnsi="Times New Roman" w:cs="Times New Roman"/>
          <w:i/>
        </w:rPr>
        <w:t>Fields v. State of Missouri</w:t>
      </w:r>
      <w:r>
        <w:rPr>
          <w:rFonts w:ascii="Times New Roman" w:hAnsi="Times New Roman" w:cs="Times New Roman"/>
        </w:rPr>
        <w:t>, No.WD84506</w:t>
      </w:r>
      <w:r w:rsidRPr="00C55400">
        <w:rPr>
          <w:rFonts w:ascii="Times New Roman" w:hAnsi="Times New Roman" w:cs="Times New Roman"/>
        </w:rPr>
        <w:t xml:space="preserve"> (Mo. Ct. App. 2022)</w:t>
      </w:r>
      <w:r>
        <w:rPr>
          <w:rFonts w:ascii="Times New Roman" w:hAnsi="Times New Roman" w:cs="Times New Roman"/>
        </w:rPr>
        <w:t xml:space="preserve">: </w:t>
      </w:r>
      <w:r w:rsidRPr="00C55400">
        <w:rPr>
          <w:rFonts w:ascii="Times New Roman" w:hAnsi="Times New Roman" w:cs="Times New Roman"/>
        </w:rPr>
        <w:t>Appellant testified in an evidentiary hearing that his plea counsel never informed him that, following the completion of his sentence, his conviction could result in a lifetime</w:t>
      </w:r>
      <w:r>
        <w:rPr>
          <w:rFonts w:ascii="Times New Roman" w:hAnsi="Times New Roman" w:cs="Times New Roman"/>
        </w:rPr>
        <w:t xml:space="preserve"> civil commitment to the MO </w:t>
      </w:r>
      <w:proofErr w:type="spellStart"/>
      <w:r>
        <w:rPr>
          <w:rFonts w:ascii="Times New Roman" w:hAnsi="Times New Roman" w:cs="Times New Roman"/>
        </w:rPr>
        <w:t>Dept</w:t>
      </w:r>
      <w:proofErr w:type="spellEnd"/>
      <w:r>
        <w:rPr>
          <w:rFonts w:ascii="Times New Roman" w:hAnsi="Times New Roman" w:cs="Times New Roman"/>
        </w:rPr>
        <w:t xml:space="preserve"> of Health as an SVP</w:t>
      </w:r>
      <w:r w:rsidRPr="00C55400">
        <w:rPr>
          <w:rFonts w:ascii="Times New Roman" w:hAnsi="Times New Roman" w:cs="Times New Roman"/>
        </w:rPr>
        <w:t xml:space="preserve"> Appellant stated that he would not have accepted the plea offer had he known about the possibility of future civil commitment.</w:t>
      </w:r>
      <w:r>
        <w:rPr>
          <w:rFonts w:ascii="Times New Roman" w:hAnsi="Times New Roman" w:cs="Times New Roman"/>
        </w:rPr>
        <w:t xml:space="preserve"> </w:t>
      </w:r>
      <w:r w:rsidRPr="00C55400">
        <w:rPr>
          <w:rFonts w:ascii="Times New Roman" w:hAnsi="Times New Roman" w:cs="Times New Roman"/>
        </w:rPr>
        <w:t xml:space="preserve">The Court of Appeals affirmed the judgment of the motion court, concluding that unlike the risk of deportation assessed in </w:t>
      </w:r>
      <w:r w:rsidRPr="00C55400">
        <w:rPr>
          <w:rFonts w:ascii="Times New Roman" w:hAnsi="Times New Roman" w:cs="Times New Roman"/>
          <w:i/>
        </w:rPr>
        <w:t>Padilla v. Kentucky</w:t>
      </w:r>
      <w:r w:rsidRPr="00C55400">
        <w:rPr>
          <w:rFonts w:ascii="Times New Roman" w:hAnsi="Times New Roman" w:cs="Times New Roman"/>
        </w:rPr>
        <w:t xml:space="preserve">, 559 U.S. 356 (2010), civil commitment under Missouri’s SVP statute is a collateral consequence of a guilty plea as opposed to a presumptively mandatory consequence.  For that reason, the Court declined to conclude that plea counsel was obligated to inform Appellant of this potential consequence.  The Court also deferred to the motion court’s determination that Appellant’s testimony about the involuntary nature of his plea was not credible, and held that Appellant failed to establish the prejudice necessary to obtain </w:t>
      </w:r>
      <w:proofErr w:type="spellStart"/>
      <w:r w:rsidRPr="00C55400">
        <w:rPr>
          <w:rFonts w:ascii="Times New Roman" w:hAnsi="Times New Roman" w:cs="Times New Roman"/>
        </w:rPr>
        <w:t>postconviction</w:t>
      </w:r>
      <w:proofErr w:type="spellEnd"/>
      <w:r w:rsidRPr="00C55400">
        <w:rPr>
          <w:rFonts w:ascii="Times New Roman" w:hAnsi="Times New Roman" w:cs="Times New Roman"/>
        </w:rPr>
        <w:t xml:space="preserve"> relief for ineffective assistance of counsel.</w:t>
      </w:r>
    </w:p>
    <w:p w:rsidR="00C55400" w:rsidRDefault="00C55400" w:rsidP="00B026BA">
      <w:pPr>
        <w:spacing w:after="0"/>
        <w:jc w:val="both"/>
        <w:rPr>
          <w:rFonts w:ascii="Times New Roman" w:hAnsi="Times New Roman" w:cs="Times New Roman"/>
        </w:rPr>
      </w:pPr>
    </w:p>
    <w:p w:rsidR="00C55400" w:rsidRDefault="00C55400" w:rsidP="00B026BA">
      <w:pPr>
        <w:spacing w:after="0"/>
        <w:jc w:val="both"/>
        <w:rPr>
          <w:rFonts w:ascii="Times New Roman" w:hAnsi="Times New Roman" w:cs="Times New Roman"/>
        </w:rPr>
      </w:pPr>
      <w:r w:rsidRPr="00C55400">
        <w:rPr>
          <w:rFonts w:ascii="Times New Roman" w:hAnsi="Times New Roman" w:cs="Times New Roman"/>
          <w:i/>
        </w:rPr>
        <w:t>Cornelio v Connecticut</w:t>
      </w:r>
      <w:r>
        <w:rPr>
          <w:rFonts w:ascii="Times New Roman" w:hAnsi="Times New Roman" w:cs="Times New Roman"/>
        </w:rPr>
        <w:t xml:space="preserve">, No. 20-4106-cv (2nd Cir 2022): Reinstated a lawsuit against CT’s state law requiring disclosure of online identity to registry officials, stating the law likely violates </w:t>
      </w:r>
      <w:r w:rsidR="006C6141">
        <w:rPr>
          <w:rFonts w:ascii="Times New Roman" w:hAnsi="Times New Roman" w:cs="Times New Roman"/>
        </w:rPr>
        <w:t>the right to free &amp; anonymous speech. The Court noted, “</w:t>
      </w:r>
      <w:r w:rsidR="006C6141" w:rsidRPr="006C6141">
        <w:rPr>
          <w:rFonts w:ascii="Times New Roman" w:hAnsi="Times New Roman" w:cs="Times New Roman"/>
        </w:rPr>
        <w:t>the disclosure requ</w:t>
      </w:r>
      <w:r w:rsidR="006C6141">
        <w:rPr>
          <w:rFonts w:ascii="Times New Roman" w:hAnsi="Times New Roman" w:cs="Times New Roman"/>
        </w:rPr>
        <w:t>irement burdens a registrant's ‘</w:t>
      </w:r>
      <w:r w:rsidR="006C6141" w:rsidRPr="006C6141">
        <w:rPr>
          <w:rFonts w:ascii="Times New Roman" w:hAnsi="Times New Roman" w:cs="Times New Roman"/>
        </w:rPr>
        <w:t>ability and willin</w:t>
      </w:r>
      <w:r w:rsidR="006C6141">
        <w:rPr>
          <w:rFonts w:ascii="Times New Roman" w:hAnsi="Times New Roman" w:cs="Times New Roman"/>
        </w:rPr>
        <w:t xml:space="preserve">gness to speak on the Internet’… </w:t>
      </w:r>
      <w:r w:rsidR="006C6141" w:rsidRPr="006C6141">
        <w:rPr>
          <w:rFonts w:ascii="Times New Roman" w:hAnsi="Times New Roman" w:cs="Times New Roman"/>
        </w:rPr>
        <w:t xml:space="preserve">The </w:t>
      </w:r>
      <w:r w:rsidR="006C6141">
        <w:rPr>
          <w:rFonts w:ascii="Times New Roman" w:hAnsi="Times New Roman" w:cs="Times New Roman"/>
        </w:rPr>
        <w:t>disclosure requirement targets ‘</w:t>
      </w:r>
      <w:r w:rsidR="006C6141" w:rsidRPr="006C6141">
        <w:rPr>
          <w:rFonts w:ascii="Times New Roman" w:hAnsi="Times New Roman" w:cs="Times New Roman"/>
        </w:rPr>
        <w:t xml:space="preserve">conduct with a significant expressive element"—the use of communications identifiers—and therefore "has the inevitable effect of singling out those </w:t>
      </w:r>
      <w:r w:rsidR="006C6141">
        <w:rPr>
          <w:rFonts w:ascii="Times New Roman" w:hAnsi="Times New Roman" w:cs="Times New Roman"/>
        </w:rPr>
        <w:t xml:space="preserve">engaged in expressive activity’… </w:t>
      </w:r>
      <w:r w:rsidR="006C6141" w:rsidRPr="006C6141">
        <w:rPr>
          <w:rFonts w:ascii="Times New Roman" w:hAnsi="Times New Roman" w:cs="Times New Roman"/>
        </w:rPr>
        <w:t>the disclosure requirement prevents a registrant from speaking anonymously</w:t>
      </w:r>
      <w:r w:rsidR="006C6141">
        <w:rPr>
          <w:rFonts w:ascii="Times New Roman" w:hAnsi="Times New Roman" w:cs="Times New Roman"/>
        </w:rPr>
        <w:t xml:space="preserve">… </w:t>
      </w:r>
      <w:r w:rsidR="006C6141" w:rsidRPr="006C6141">
        <w:rPr>
          <w:rFonts w:ascii="Times New Roman" w:hAnsi="Times New Roman" w:cs="Times New Roman"/>
        </w:rPr>
        <w:t>The disclosure requirement does not avoid First Amendment scrutiny because the identifiers are disclosed to the government rather than to the general public.</w:t>
      </w:r>
      <w:r w:rsidR="006C6141">
        <w:rPr>
          <w:rFonts w:ascii="Times New Roman" w:hAnsi="Times New Roman" w:cs="Times New Roman"/>
        </w:rPr>
        <w:t>”</w:t>
      </w:r>
    </w:p>
    <w:p w:rsidR="006C6141" w:rsidRDefault="006C6141" w:rsidP="00B026BA">
      <w:pPr>
        <w:spacing w:after="0"/>
        <w:jc w:val="both"/>
        <w:rPr>
          <w:rFonts w:ascii="Times New Roman" w:hAnsi="Times New Roman" w:cs="Times New Roman"/>
        </w:rPr>
      </w:pPr>
    </w:p>
    <w:p w:rsidR="006C6141" w:rsidRDefault="006C6141" w:rsidP="006C6141">
      <w:pPr>
        <w:spacing w:after="0"/>
        <w:jc w:val="both"/>
        <w:rPr>
          <w:rFonts w:ascii="Times New Roman" w:hAnsi="Times New Roman" w:cs="Times New Roman"/>
        </w:rPr>
      </w:pPr>
      <w:r w:rsidRPr="006C6141">
        <w:rPr>
          <w:rFonts w:ascii="Times New Roman" w:hAnsi="Times New Roman" w:cs="Times New Roman"/>
          <w:i/>
        </w:rPr>
        <w:t>Doe v. Wilson et al.,</w:t>
      </w:r>
      <w:r>
        <w:rPr>
          <w:rFonts w:ascii="Times New Roman" w:hAnsi="Times New Roman" w:cs="Times New Roman"/>
        </w:rPr>
        <w:t xml:space="preserve"> </w:t>
      </w:r>
      <w:r w:rsidRPr="006C6141">
        <w:rPr>
          <w:rFonts w:ascii="Times New Roman" w:hAnsi="Times New Roman" w:cs="Times New Roman"/>
        </w:rPr>
        <w:t>Civil Action No. 3:21-04108-MGL</w:t>
      </w:r>
      <w:r>
        <w:rPr>
          <w:rFonts w:ascii="Times New Roman" w:hAnsi="Times New Roman" w:cs="Times New Roman"/>
        </w:rPr>
        <w:t xml:space="preserve"> (USDC SC 4/22/22): SC settles lawsuit allowing removal of consensual adult sodomy cases to be removed from the state’s SOR to conform with the SCOTUS</w:t>
      </w:r>
      <w:r w:rsidRPr="006C6141">
        <w:rPr>
          <w:rFonts w:ascii="Times New Roman" w:hAnsi="Times New Roman" w:cs="Times New Roman"/>
        </w:rPr>
        <w:t xml:space="preserve"> ru</w:t>
      </w:r>
      <w:bookmarkStart w:id="0" w:name="_GoBack"/>
      <w:bookmarkEnd w:id="0"/>
      <w:r w:rsidRPr="006C6141">
        <w:rPr>
          <w:rFonts w:ascii="Times New Roman" w:hAnsi="Times New Roman" w:cs="Times New Roman"/>
        </w:rPr>
        <w:t xml:space="preserve">ling in </w:t>
      </w:r>
      <w:r w:rsidRPr="006C6141">
        <w:rPr>
          <w:rFonts w:ascii="Times New Roman" w:hAnsi="Times New Roman" w:cs="Times New Roman"/>
          <w:i/>
        </w:rPr>
        <w:t>Lawrence v. Texas</w:t>
      </w:r>
      <w:r>
        <w:rPr>
          <w:rFonts w:ascii="Times New Roman" w:hAnsi="Times New Roman" w:cs="Times New Roman"/>
        </w:rPr>
        <w:t xml:space="preserve">, 539 U.S. 588 </w:t>
      </w:r>
      <w:r w:rsidRPr="006C6141">
        <w:rPr>
          <w:rFonts w:ascii="Times New Roman" w:hAnsi="Times New Roman" w:cs="Times New Roman"/>
        </w:rPr>
        <w:t>(2003)</w:t>
      </w:r>
      <w:r>
        <w:rPr>
          <w:rFonts w:ascii="Times New Roman" w:hAnsi="Times New Roman" w:cs="Times New Roman"/>
        </w:rPr>
        <w:t>.</w:t>
      </w:r>
    </w:p>
    <w:p w:rsidR="006C6141" w:rsidRDefault="006C6141" w:rsidP="006C6141">
      <w:pPr>
        <w:spacing w:after="0"/>
        <w:jc w:val="both"/>
        <w:rPr>
          <w:rFonts w:ascii="Times New Roman" w:hAnsi="Times New Roman" w:cs="Times New Roman"/>
        </w:rPr>
      </w:pPr>
    </w:p>
    <w:p w:rsidR="006C6141" w:rsidRDefault="006C6141" w:rsidP="006C6141">
      <w:pPr>
        <w:spacing w:after="0"/>
        <w:jc w:val="both"/>
        <w:rPr>
          <w:rFonts w:ascii="Times New Roman" w:hAnsi="Times New Roman" w:cs="Times New Roman"/>
        </w:rPr>
      </w:pPr>
      <w:r w:rsidRPr="006C6141">
        <w:rPr>
          <w:rFonts w:ascii="Times New Roman" w:hAnsi="Times New Roman" w:cs="Times New Roman"/>
          <w:i/>
        </w:rPr>
        <w:t>ACSOL joins Pacific Legal Foundation in challenge to SORNA regulations</w:t>
      </w:r>
      <w:r>
        <w:rPr>
          <w:rFonts w:ascii="Times New Roman" w:hAnsi="Times New Roman" w:cs="Times New Roman"/>
        </w:rPr>
        <w:t xml:space="preserve">: </w:t>
      </w:r>
      <w:r w:rsidRPr="006C6141">
        <w:rPr>
          <w:rFonts w:ascii="Times New Roman" w:hAnsi="Times New Roman" w:cs="Times New Roman"/>
        </w:rPr>
        <w:t xml:space="preserve">The Alliance for Constitutional Sex Offense Laws (ACSOL) today signed a Memorandum of Understanding (MOU) with the Pacific Legal Foundation (PLF) to challenge the federal SORNA regulations that became effective in January 2022.  As a signatory to the MOU, ACSOL has agreed to serve as a named plaintiff in the lawsuit which will be filed in the Central district of </w:t>
      </w:r>
      <w:r>
        <w:rPr>
          <w:rFonts w:ascii="Times New Roman" w:hAnsi="Times New Roman" w:cs="Times New Roman"/>
        </w:rPr>
        <w:t>CA</w:t>
      </w:r>
      <w:r w:rsidRPr="006C6141">
        <w:rPr>
          <w:rFonts w:ascii="Times New Roman" w:hAnsi="Times New Roman" w:cs="Times New Roman"/>
        </w:rPr>
        <w:t>.  The remaining plaintiff is a</w:t>
      </w:r>
      <w:r>
        <w:rPr>
          <w:rFonts w:ascii="Times New Roman" w:hAnsi="Times New Roman" w:cs="Times New Roman"/>
        </w:rPr>
        <w:t>n</w:t>
      </w:r>
      <w:r w:rsidRPr="006C6141">
        <w:rPr>
          <w:rFonts w:ascii="Times New Roman" w:hAnsi="Times New Roman" w:cs="Times New Roman"/>
        </w:rPr>
        <w:t xml:space="preserve"> </w:t>
      </w:r>
      <w:r>
        <w:rPr>
          <w:rFonts w:ascii="Times New Roman" w:hAnsi="Times New Roman" w:cs="Times New Roman"/>
        </w:rPr>
        <w:t>RC</w:t>
      </w:r>
      <w:r w:rsidRPr="006C6141">
        <w:rPr>
          <w:rFonts w:ascii="Times New Roman" w:hAnsi="Times New Roman" w:cs="Times New Roman"/>
        </w:rPr>
        <w:t xml:space="preserve"> who resides in </w:t>
      </w:r>
      <w:r>
        <w:rPr>
          <w:rFonts w:ascii="Times New Roman" w:hAnsi="Times New Roman" w:cs="Times New Roman"/>
        </w:rPr>
        <w:t>CA</w:t>
      </w:r>
      <w:r w:rsidRPr="006C6141">
        <w:rPr>
          <w:rFonts w:ascii="Times New Roman" w:hAnsi="Times New Roman" w:cs="Times New Roman"/>
        </w:rPr>
        <w:t xml:space="preserve"> a</w:t>
      </w:r>
      <w:r>
        <w:rPr>
          <w:rFonts w:ascii="Times New Roman" w:hAnsi="Times New Roman" w:cs="Times New Roman"/>
        </w:rPr>
        <w:t xml:space="preserve">nd will be known as “John Doe.” </w:t>
      </w:r>
      <w:r w:rsidRPr="006C6141">
        <w:rPr>
          <w:rFonts w:ascii="Times New Roman" w:hAnsi="Times New Roman" w:cs="Times New Roman"/>
        </w:rPr>
        <w:t>The lawsuit will include a request for preliminary injunction which, if granted by the court, would stop enforcement of the SORNA regulations.  The lawsuit will also request a final judgment declaring the SORNA regulations to be invalid.</w:t>
      </w:r>
      <w:r w:rsidRPr="006C6141">
        <w:t xml:space="preserve"> </w:t>
      </w:r>
      <w:r w:rsidRPr="006C6141">
        <w:rPr>
          <w:rFonts w:ascii="Times New Roman" w:hAnsi="Times New Roman" w:cs="Times New Roman"/>
        </w:rPr>
        <w:t>PLF is a nonprofit, public interest law foundation established to advance the principles of limited government and individual rights.  The organization has won 14 of the 16 cases</w:t>
      </w:r>
      <w:r>
        <w:rPr>
          <w:rFonts w:ascii="Times New Roman" w:hAnsi="Times New Roman" w:cs="Times New Roman"/>
        </w:rPr>
        <w:t xml:space="preserve"> filed in SCOTUS on a variety of topics. T</w:t>
      </w:r>
      <w:r w:rsidRPr="006C6141">
        <w:rPr>
          <w:rFonts w:ascii="Times New Roman" w:hAnsi="Times New Roman" w:cs="Times New Roman"/>
        </w:rPr>
        <w:t xml:space="preserve">he anticipated lawsuit will argue that the SORNA </w:t>
      </w:r>
      <w:proofErr w:type="gramStart"/>
      <w:r w:rsidRPr="006C6141">
        <w:rPr>
          <w:rFonts w:ascii="Times New Roman" w:hAnsi="Times New Roman" w:cs="Times New Roman"/>
        </w:rPr>
        <w:t>regulations are an exercise of an unconstitutional delegation of legislative authority, conflicts with relevant st</w:t>
      </w:r>
      <w:r>
        <w:rPr>
          <w:rFonts w:ascii="Times New Roman" w:hAnsi="Times New Roman" w:cs="Times New Roman"/>
        </w:rPr>
        <w:t>atutes and violates</w:t>
      </w:r>
      <w:proofErr w:type="gramEnd"/>
      <w:r>
        <w:rPr>
          <w:rFonts w:ascii="Times New Roman" w:hAnsi="Times New Roman" w:cs="Times New Roman"/>
        </w:rPr>
        <w:t xml:space="preserve"> both the 1</w:t>
      </w:r>
      <w:r w:rsidRPr="006C6141">
        <w:rPr>
          <w:rFonts w:ascii="Times New Roman" w:hAnsi="Times New Roman" w:cs="Times New Roman"/>
        </w:rPr>
        <w:t>st Amendme</w:t>
      </w:r>
      <w:r>
        <w:rPr>
          <w:rFonts w:ascii="Times New Roman" w:hAnsi="Times New Roman" w:cs="Times New Roman"/>
        </w:rPr>
        <w:t xml:space="preserve">nt as well as the 5th </w:t>
      </w:r>
      <w:proofErr w:type="spellStart"/>
      <w:r>
        <w:rPr>
          <w:rFonts w:ascii="Times New Roman" w:hAnsi="Times New Roman" w:cs="Times New Roman"/>
        </w:rPr>
        <w:t>Amd</w:t>
      </w:r>
      <w:r w:rsidRPr="006C6141">
        <w:rPr>
          <w:rFonts w:ascii="Times New Roman" w:hAnsi="Times New Roman" w:cs="Times New Roman"/>
        </w:rPr>
        <w:t>t’s</w:t>
      </w:r>
      <w:proofErr w:type="spellEnd"/>
      <w:r w:rsidRPr="006C6141">
        <w:rPr>
          <w:rFonts w:ascii="Times New Roman" w:hAnsi="Times New Roman" w:cs="Times New Roman"/>
        </w:rPr>
        <w:t xml:space="preserve"> due process clause.  It is anticipated that the lawsuit will be filed in May 2022.</w:t>
      </w:r>
    </w:p>
    <w:p w:rsidR="00131D66" w:rsidRDefault="00131D66" w:rsidP="006C6141">
      <w:pPr>
        <w:spacing w:after="0"/>
        <w:jc w:val="both"/>
        <w:rPr>
          <w:rFonts w:ascii="Times New Roman" w:hAnsi="Times New Roman" w:cs="Times New Roman"/>
        </w:rPr>
      </w:pPr>
    </w:p>
    <w:p w:rsidR="00131D66" w:rsidRDefault="00131D66" w:rsidP="006C6141">
      <w:pPr>
        <w:spacing w:after="0"/>
        <w:jc w:val="both"/>
        <w:rPr>
          <w:rFonts w:ascii="Times New Roman" w:hAnsi="Times New Roman" w:cs="Times New Roman"/>
        </w:rPr>
      </w:pPr>
      <w:r w:rsidRPr="00EC3F39">
        <w:rPr>
          <w:rFonts w:ascii="Times New Roman" w:hAnsi="Times New Roman" w:cs="Times New Roman"/>
          <w:i/>
        </w:rPr>
        <w:lastRenderedPageBreak/>
        <w:t>Brown v. Maher</w:t>
      </w:r>
      <w:r w:rsidRPr="00131D66">
        <w:rPr>
          <w:rFonts w:ascii="Times New Roman" w:hAnsi="Times New Roman" w:cs="Times New Roman"/>
        </w:rPr>
        <w:t>, No. 21-CV-1018 (N.D.N.Y. 2022)</w:t>
      </w:r>
      <w:r>
        <w:rPr>
          <w:rFonts w:ascii="Times New Roman" w:hAnsi="Times New Roman" w:cs="Times New Roman"/>
        </w:rPr>
        <w:t xml:space="preserve">: </w:t>
      </w:r>
      <w:r w:rsidRPr="00131D66">
        <w:rPr>
          <w:rFonts w:ascii="Times New Roman" w:hAnsi="Times New Roman" w:cs="Times New Roman"/>
        </w:rPr>
        <w:t>District Court granting Plaintiff a preliminary injunction where Plaintiff's right to live with his wife and step-children was prohibited by parole conditions preventing him from contacting any person under the age of eighteen, concluding that Plaintiff's right to live with his wife was fundamental, that he was likely to</w:t>
      </w:r>
      <w:r>
        <w:rPr>
          <w:rFonts w:ascii="Times New Roman" w:hAnsi="Times New Roman" w:cs="Times New Roman"/>
        </w:rPr>
        <w:t xml:space="preserve"> succeed on the merits of his §</w:t>
      </w:r>
      <w:r w:rsidRPr="00131D66">
        <w:rPr>
          <w:rFonts w:ascii="Times New Roman" w:hAnsi="Times New Roman" w:cs="Times New Roman"/>
        </w:rPr>
        <w:t>1983 due process claim, that he faced a likelihood of irreparable harm, and that the balance of equities and public interest favored issuance of a preliminary injunction.</w:t>
      </w:r>
    </w:p>
    <w:p w:rsidR="006C34CD" w:rsidRDefault="006C34CD" w:rsidP="006C6141">
      <w:pPr>
        <w:spacing w:after="0"/>
        <w:jc w:val="both"/>
        <w:rPr>
          <w:rFonts w:ascii="Times New Roman" w:hAnsi="Times New Roman" w:cs="Times New Roman"/>
        </w:rPr>
      </w:pPr>
    </w:p>
    <w:p w:rsidR="006C34CD" w:rsidRPr="006C34CD" w:rsidRDefault="006C34CD" w:rsidP="006C6141">
      <w:pPr>
        <w:spacing w:after="0"/>
        <w:jc w:val="both"/>
        <w:rPr>
          <w:rFonts w:ascii="Times New Roman" w:hAnsi="Times New Roman" w:cs="Times New Roman"/>
          <w:b/>
        </w:rPr>
      </w:pPr>
      <w:proofErr w:type="gramStart"/>
      <w:r w:rsidRPr="006C34CD">
        <w:rPr>
          <w:rFonts w:ascii="Times New Roman" w:hAnsi="Times New Roman" w:cs="Times New Roman"/>
          <w:b/>
        </w:rPr>
        <w:t>TO TREAT OR NOT TO TREAT?</w:t>
      </w:r>
      <w:proofErr w:type="gramEnd"/>
    </w:p>
    <w:p w:rsidR="006C34CD" w:rsidRDefault="006C34CD" w:rsidP="006C6141">
      <w:pPr>
        <w:spacing w:after="0"/>
        <w:jc w:val="both"/>
        <w:rPr>
          <w:rFonts w:ascii="Times New Roman" w:hAnsi="Times New Roman" w:cs="Times New Roman"/>
        </w:rPr>
      </w:pPr>
    </w:p>
    <w:p w:rsidR="006C34CD" w:rsidRDefault="006C34CD" w:rsidP="006C6141">
      <w:pPr>
        <w:spacing w:after="0"/>
        <w:jc w:val="both"/>
        <w:rPr>
          <w:rFonts w:ascii="Times New Roman" w:hAnsi="Times New Roman" w:cs="Times New Roman"/>
        </w:rPr>
      </w:pPr>
      <w:r>
        <w:rPr>
          <w:rFonts w:ascii="Times New Roman" w:hAnsi="Times New Roman" w:cs="Times New Roman"/>
        </w:rPr>
        <w:t xml:space="preserve">In response to the article in the April 2022 </w:t>
      </w:r>
      <w:proofErr w:type="spellStart"/>
      <w:r>
        <w:rPr>
          <w:rFonts w:ascii="Times New Roman" w:hAnsi="Times New Roman" w:cs="Times New Roman"/>
        </w:rPr>
        <w:t>ICoN</w:t>
      </w:r>
      <w:proofErr w:type="spellEnd"/>
      <w:r>
        <w:rPr>
          <w:rFonts w:ascii="Times New Roman" w:hAnsi="Times New Roman" w:cs="Times New Roman"/>
        </w:rPr>
        <w:t xml:space="preserve"> (#78), a few prisoners wrote me with dissenting opinions. One concern revolves around typical prison politics; in such treatment programs, some prisoners may try currying favor by targeting others in the group. As one prisoner wrote, the “</w:t>
      </w:r>
      <w:r w:rsidRPr="006C34CD">
        <w:rPr>
          <w:rFonts w:ascii="Times New Roman" w:hAnsi="Times New Roman" w:cs="Times New Roman"/>
        </w:rPr>
        <w:t xml:space="preserve">BOP wants hardened criminals to </w:t>
      </w:r>
      <w:proofErr w:type="spellStart"/>
      <w:r w:rsidRPr="006C34CD">
        <w:rPr>
          <w:rFonts w:ascii="Times New Roman" w:hAnsi="Times New Roman" w:cs="Times New Roman"/>
        </w:rPr>
        <w:t>pyscho</w:t>
      </w:r>
      <w:proofErr w:type="spellEnd"/>
      <w:r w:rsidRPr="006C34CD">
        <w:rPr>
          <w:rFonts w:ascii="Times New Roman" w:hAnsi="Times New Roman" w:cs="Times New Roman"/>
        </w:rPr>
        <w:t>-analyze the other hardened criminals in the Group---instead of doing their '</w:t>
      </w:r>
      <w:proofErr w:type="spellStart"/>
      <w:r w:rsidRPr="006C34CD">
        <w:rPr>
          <w:rFonts w:ascii="Times New Roman" w:hAnsi="Times New Roman" w:cs="Times New Roman"/>
        </w:rPr>
        <w:t>yab</w:t>
      </w:r>
      <w:proofErr w:type="spellEnd"/>
      <w:r w:rsidRPr="006C34CD">
        <w:rPr>
          <w:rFonts w:ascii="Times New Roman" w:hAnsi="Times New Roman" w:cs="Times New Roman"/>
        </w:rPr>
        <w:t>', I think and fear!</w:t>
      </w:r>
      <w:r>
        <w:rPr>
          <w:rFonts w:ascii="Times New Roman" w:hAnsi="Times New Roman" w:cs="Times New Roman"/>
        </w:rPr>
        <w:t>”</w:t>
      </w:r>
    </w:p>
    <w:p w:rsidR="006C34CD" w:rsidRDefault="006C34CD" w:rsidP="006C6141">
      <w:pPr>
        <w:spacing w:after="0"/>
        <w:jc w:val="both"/>
        <w:rPr>
          <w:rFonts w:ascii="Times New Roman" w:hAnsi="Times New Roman" w:cs="Times New Roman"/>
        </w:rPr>
      </w:pPr>
    </w:p>
    <w:p w:rsidR="006C34CD" w:rsidRDefault="006C34CD" w:rsidP="006C6141">
      <w:pPr>
        <w:spacing w:after="0"/>
        <w:jc w:val="both"/>
        <w:rPr>
          <w:rFonts w:ascii="Times New Roman" w:hAnsi="Times New Roman" w:cs="Times New Roman"/>
        </w:rPr>
      </w:pPr>
      <w:r>
        <w:rPr>
          <w:rFonts w:ascii="Times New Roman" w:hAnsi="Times New Roman" w:cs="Times New Roman"/>
        </w:rPr>
        <w:t xml:space="preserve">The other chief concern regards whether there is truly any benefit to going to treatment before release. That’s up to you. If your motivation is simply to shave time off your sentence or reduce post-release treatment time, then the answer is murky. </w:t>
      </w:r>
    </w:p>
    <w:p w:rsidR="006C34CD" w:rsidRDefault="006C34CD" w:rsidP="006C6141">
      <w:pPr>
        <w:spacing w:after="0"/>
        <w:jc w:val="both"/>
        <w:rPr>
          <w:rFonts w:ascii="Times New Roman" w:hAnsi="Times New Roman" w:cs="Times New Roman"/>
        </w:rPr>
      </w:pPr>
    </w:p>
    <w:p w:rsidR="006C34CD" w:rsidRDefault="006C34CD" w:rsidP="006C6141">
      <w:pPr>
        <w:spacing w:after="0"/>
        <w:jc w:val="both"/>
        <w:rPr>
          <w:rFonts w:ascii="Times New Roman" w:hAnsi="Times New Roman" w:cs="Times New Roman"/>
        </w:rPr>
      </w:pPr>
      <w:r>
        <w:rPr>
          <w:rFonts w:ascii="Times New Roman" w:hAnsi="Times New Roman" w:cs="Times New Roman"/>
        </w:rPr>
        <w:t xml:space="preserve">One prison posed this question </w:t>
      </w:r>
      <w:r w:rsidR="00E625DA">
        <w:rPr>
          <w:rFonts w:ascii="Times New Roman" w:hAnsi="Times New Roman" w:cs="Times New Roman"/>
        </w:rPr>
        <w:t xml:space="preserve">to the PO for the US </w:t>
      </w:r>
      <w:proofErr w:type="spellStart"/>
      <w:r w:rsidR="00E625DA">
        <w:rPr>
          <w:rFonts w:ascii="Times New Roman" w:hAnsi="Times New Roman" w:cs="Times New Roman"/>
        </w:rPr>
        <w:t>Dist</w:t>
      </w:r>
      <w:proofErr w:type="spellEnd"/>
      <w:r w:rsidR="00E625DA">
        <w:rPr>
          <w:rFonts w:ascii="Times New Roman" w:hAnsi="Times New Roman" w:cs="Times New Roman"/>
        </w:rPr>
        <w:t xml:space="preserve"> Ct for the N </w:t>
      </w:r>
      <w:proofErr w:type="spellStart"/>
      <w:r w:rsidR="00E625DA">
        <w:rPr>
          <w:rFonts w:ascii="Times New Roman" w:hAnsi="Times New Roman" w:cs="Times New Roman"/>
        </w:rPr>
        <w:t>Dist</w:t>
      </w:r>
      <w:proofErr w:type="spellEnd"/>
      <w:r w:rsidR="00E625DA">
        <w:rPr>
          <w:rFonts w:ascii="Times New Roman" w:hAnsi="Times New Roman" w:cs="Times New Roman"/>
        </w:rPr>
        <w:t xml:space="preserve"> of AL. This was the response:</w:t>
      </w:r>
    </w:p>
    <w:p w:rsidR="00E625DA" w:rsidRDefault="00E625DA" w:rsidP="006C6141">
      <w:pPr>
        <w:spacing w:after="0"/>
        <w:jc w:val="both"/>
        <w:rPr>
          <w:rFonts w:ascii="Times New Roman" w:hAnsi="Times New Roman" w:cs="Times New Roman"/>
        </w:rPr>
      </w:pPr>
    </w:p>
    <w:p w:rsidR="00E625DA" w:rsidRDefault="00E625DA" w:rsidP="006C6141">
      <w:pPr>
        <w:spacing w:after="0"/>
        <w:jc w:val="both"/>
        <w:rPr>
          <w:rFonts w:ascii="Times New Roman" w:hAnsi="Times New Roman" w:cs="Times New Roman"/>
        </w:rPr>
      </w:pPr>
      <w:r>
        <w:rPr>
          <w:rFonts w:ascii="Times New Roman" w:hAnsi="Times New Roman" w:cs="Times New Roman"/>
        </w:rPr>
        <w:t>“I received correspondence from you requesting information on the SOMP program and how it might impact your conditions of supervised release. Participation in SOMP is highly encouraged and any treatment records could be provided to and reviewed by a SO treatment provider during your term of supervised release. Participation in SOMP will not exclude you from the requirement to participate in SO treatment during your term of supervised release. However, any progress that you make an SOMP would be considered by your treatment provider and may result in you progressing from the primary phase of treatment to the maintenance phase more expeditiously than if you have not participated in SOMP. Participation in SOMP will not necessarily lessen the overall time that you are a treatment, but it may impact the frequency of treatment. Treatment considerations are made through the cooperation of the probation officer, treatment provider, and polygraph examiner. I hope that this assist you in your consideration of participation and any and all programs offered during your custodial sentence.”</w:t>
      </w:r>
    </w:p>
    <w:p w:rsidR="006C34CD" w:rsidRDefault="006C34CD" w:rsidP="006C6141">
      <w:pPr>
        <w:spacing w:after="0"/>
        <w:jc w:val="both"/>
        <w:rPr>
          <w:rFonts w:ascii="Times New Roman" w:hAnsi="Times New Roman" w:cs="Times New Roman"/>
        </w:rPr>
      </w:pPr>
    </w:p>
    <w:p w:rsidR="006C34CD" w:rsidRDefault="006C34CD" w:rsidP="006C34CD">
      <w:pPr>
        <w:spacing w:after="0"/>
        <w:jc w:val="both"/>
        <w:rPr>
          <w:rFonts w:ascii="Times New Roman" w:hAnsi="Times New Roman" w:cs="Times New Roman"/>
        </w:rPr>
      </w:pPr>
      <w:r>
        <w:rPr>
          <w:rFonts w:ascii="Times New Roman" w:hAnsi="Times New Roman" w:cs="Times New Roman"/>
        </w:rPr>
        <w:t>The prisoner who sent me the letter added, “</w:t>
      </w:r>
      <w:r w:rsidRPr="006C34CD">
        <w:rPr>
          <w:rFonts w:ascii="Times New Roman" w:hAnsi="Times New Roman" w:cs="Times New Roman"/>
        </w:rPr>
        <w:t>BUT, reading betw</w:t>
      </w:r>
      <w:r>
        <w:rPr>
          <w:rFonts w:ascii="Times New Roman" w:hAnsi="Times New Roman" w:cs="Times New Roman"/>
        </w:rPr>
        <w:t>een</w:t>
      </w:r>
      <w:r w:rsidRPr="006C34CD">
        <w:rPr>
          <w:rFonts w:ascii="Times New Roman" w:hAnsi="Times New Roman" w:cs="Times New Roman"/>
        </w:rPr>
        <w:t xml:space="preserve"> the lines one should receive credit</w:t>
      </w:r>
      <w:r>
        <w:rPr>
          <w:rFonts w:ascii="Times New Roman" w:hAnsi="Times New Roman" w:cs="Times New Roman"/>
        </w:rPr>
        <w:t xml:space="preserve"> for the time spent in the SOMP</w:t>
      </w:r>
      <w:r w:rsidRPr="006C34CD">
        <w:rPr>
          <w:rFonts w:ascii="Times New Roman" w:hAnsi="Times New Roman" w:cs="Times New Roman"/>
        </w:rPr>
        <w:t xml:space="preserve"> in the outside course.  As she said, one should move quicker from the Intak</w:t>
      </w:r>
      <w:r>
        <w:rPr>
          <w:rFonts w:ascii="Times New Roman" w:hAnsi="Times New Roman" w:cs="Times New Roman"/>
        </w:rPr>
        <w:t xml:space="preserve">e phase to the Treatment phase. </w:t>
      </w:r>
      <w:r w:rsidRPr="006C34CD">
        <w:rPr>
          <w:rFonts w:ascii="Times New Roman" w:hAnsi="Times New Roman" w:cs="Times New Roman"/>
        </w:rPr>
        <w:t>I think the over-all time required in the outside course may not be affected BUT the amount of attendances in the course should be fewer so instead of going to class for 1.5 years w/ 50 attendances it may be 1.5 years w/ 25 attendances!!</w:t>
      </w:r>
      <w:r>
        <w:rPr>
          <w:rFonts w:ascii="Times New Roman" w:hAnsi="Times New Roman" w:cs="Times New Roman"/>
        </w:rPr>
        <w:t>”</w:t>
      </w:r>
    </w:p>
    <w:p w:rsidR="006C34CD" w:rsidRDefault="006C34CD" w:rsidP="006C34CD">
      <w:pPr>
        <w:spacing w:after="0"/>
        <w:jc w:val="both"/>
        <w:rPr>
          <w:rFonts w:ascii="Times New Roman" w:hAnsi="Times New Roman" w:cs="Times New Roman"/>
        </w:rPr>
      </w:pPr>
    </w:p>
    <w:p w:rsidR="006C34CD" w:rsidRDefault="006C34CD" w:rsidP="006C34CD">
      <w:pPr>
        <w:spacing w:after="0"/>
        <w:jc w:val="both"/>
        <w:rPr>
          <w:rFonts w:ascii="Times New Roman" w:hAnsi="Times New Roman" w:cs="Times New Roman"/>
        </w:rPr>
      </w:pPr>
      <w:r>
        <w:rPr>
          <w:rFonts w:ascii="Times New Roman" w:hAnsi="Times New Roman" w:cs="Times New Roman"/>
        </w:rPr>
        <w:t xml:space="preserve">Please note this applies specifically to </w:t>
      </w:r>
      <w:r w:rsidR="00E625DA">
        <w:rPr>
          <w:rFonts w:ascii="Times New Roman" w:hAnsi="Times New Roman" w:cs="Times New Roman"/>
        </w:rPr>
        <w:t xml:space="preserve">the federal system, but some states may have similar programs. As my focus is on post-release issues, I cannot elaborate any deeper on this issue. If you feel you need treatment then do it; if you don’t feel you don’t need treatment, don’t. That’s your choice. </w:t>
      </w:r>
    </w:p>
    <w:p w:rsidR="00E8391C" w:rsidRDefault="00E8391C" w:rsidP="006C34CD">
      <w:pPr>
        <w:spacing w:after="0"/>
        <w:jc w:val="both"/>
        <w:rPr>
          <w:rFonts w:ascii="Times New Roman" w:hAnsi="Times New Roman" w:cs="Times New Roman"/>
        </w:rPr>
      </w:pPr>
    </w:p>
    <w:p w:rsidR="00EC3F39" w:rsidRDefault="00EC3F39" w:rsidP="006C34CD">
      <w:pPr>
        <w:spacing w:after="0"/>
        <w:jc w:val="both"/>
        <w:rPr>
          <w:rFonts w:ascii="Times New Roman" w:hAnsi="Times New Roman" w:cs="Times New Roman"/>
        </w:rPr>
      </w:pPr>
    </w:p>
    <w:p w:rsidR="00FD3711" w:rsidRPr="00FD3711" w:rsidRDefault="00E8391C" w:rsidP="006C34CD">
      <w:pPr>
        <w:spacing w:after="0"/>
        <w:jc w:val="both"/>
        <w:rPr>
          <w:rFonts w:ascii="Times New Roman" w:hAnsi="Times New Roman" w:cs="Times New Roman"/>
          <w:b/>
        </w:rPr>
      </w:pPr>
      <w:r>
        <w:rPr>
          <w:rFonts w:ascii="Times New Roman" w:hAnsi="Times New Roman" w:cs="Times New Roman"/>
          <w:b/>
        </w:rPr>
        <w:lastRenderedPageBreak/>
        <w:t>CA</w:t>
      </w:r>
      <w:r w:rsidR="00FD3711" w:rsidRPr="00FD3711">
        <w:rPr>
          <w:rFonts w:ascii="Times New Roman" w:hAnsi="Times New Roman" w:cs="Times New Roman"/>
          <w:b/>
        </w:rPr>
        <w:t>N</w:t>
      </w:r>
      <w:r>
        <w:rPr>
          <w:rFonts w:ascii="Times New Roman" w:hAnsi="Times New Roman" w:cs="Times New Roman"/>
          <w:b/>
        </w:rPr>
        <w:t xml:space="preserve"> AN RC BE</w:t>
      </w:r>
      <w:r w:rsidR="00FD3711" w:rsidRPr="00FD3711">
        <w:rPr>
          <w:rFonts w:ascii="Times New Roman" w:hAnsi="Times New Roman" w:cs="Times New Roman"/>
          <w:b/>
        </w:rPr>
        <w:t xml:space="preserve"> A LANDLORD?</w:t>
      </w:r>
    </w:p>
    <w:p w:rsidR="00FD3711" w:rsidRDefault="00FD3711" w:rsidP="006C34CD">
      <w:pPr>
        <w:spacing w:after="0"/>
        <w:jc w:val="both"/>
        <w:rPr>
          <w:rFonts w:ascii="Times New Roman" w:hAnsi="Times New Roman" w:cs="Times New Roman"/>
        </w:rPr>
      </w:pPr>
    </w:p>
    <w:p w:rsidR="00FD3711" w:rsidRDefault="00FD3711" w:rsidP="006C34CD">
      <w:pPr>
        <w:spacing w:after="0"/>
        <w:jc w:val="both"/>
        <w:rPr>
          <w:rFonts w:ascii="Times New Roman" w:hAnsi="Times New Roman" w:cs="Times New Roman"/>
        </w:rPr>
      </w:pPr>
      <w:r>
        <w:rPr>
          <w:rFonts w:ascii="Times New Roman" w:hAnsi="Times New Roman" w:cs="Times New Roman"/>
        </w:rPr>
        <w:t xml:space="preserve">QUESTION: </w:t>
      </w:r>
      <w:r w:rsidRPr="00FD3711">
        <w:rPr>
          <w:rFonts w:ascii="Times New Roman" w:hAnsi="Times New Roman" w:cs="Times New Roman"/>
        </w:rPr>
        <w:t xml:space="preserve">What laws are </w:t>
      </w:r>
      <w:r>
        <w:rPr>
          <w:rFonts w:ascii="Times New Roman" w:hAnsi="Times New Roman" w:cs="Times New Roman"/>
        </w:rPr>
        <w:t>in place that may prevent an RC</w:t>
      </w:r>
      <w:r w:rsidRPr="00FD3711">
        <w:rPr>
          <w:rFonts w:ascii="Times New Roman" w:hAnsi="Times New Roman" w:cs="Times New Roman"/>
        </w:rPr>
        <w:t xml:space="preserve"> from investing in real estate, such as an apar</w:t>
      </w:r>
      <w:r>
        <w:rPr>
          <w:rFonts w:ascii="Times New Roman" w:hAnsi="Times New Roman" w:cs="Times New Roman"/>
        </w:rPr>
        <w:t>tment building dedicated to RCs?</w:t>
      </w:r>
      <w:r w:rsidRPr="00FD3711">
        <w:rPr>
          <w:rFonts w:ascii="Times New Roman" w:hAnsi="Times New Roman" w:cs="Times New Roman"/>
        </w:rPr>
        <w:t xml:space="preserve"> I have dreamt of building a transiti</w:t>
      </w:r>
      <w:r>
        <w:rPr>
          <w:rFonts w:ascii="Times New Roman" w:hAnsi="Times New Roman" w:cs="Times New Roman"/>
        </w:rPr>
        <w:t>onal living center where by RC</w:t>
      </w:r>
      <w:r w:rsidRPr="00FD3711">
        <w:rPr>
          <w:rFonts w:ascii="Times New Roman" w:hAnsi="Times New Roman" w:cs="Times New Roman"/>
        </w:rPr>
        <w:t>s have custom amenities. Such</w:t>
      </w:r>
      <w:r>
        <w:rPr>
          <w:rFonts w:ascii="Times New Roman" w:hAnsi="Times New Roman" w:cs="Times New Roman"/>
        </w:rPr>
        <w:t xml:space="preserve"> amenities would include; </w:t>
      </w:r>
      <w:proofErr w:type="gramStart"/>
      <w:r>
        <w:rPr>
          <w:rFonts w:ascii="Times New Roman" w:hAnsi="Times New Roman" w:cs="Times New Roman"/>
        </w:rPr>
        <w:t>an on-</w:t>
      </w:r>
      <w:r w:rsidRPr="00FD3711">
        <w:rPr>
          <w:rFonts w:ascii="Times New Roman" w:hAnsi="Times New Roman" w:cs="Times New Roman"/>
        </w:rPr>
        <w:t>site treatment center, a library, a recreational room, and perhaps even</w:t>
      </w:r>
      <w:proofErr w:type="gramEnd"/>
      <w:r w:rsidRPr="00FD3711">
        <w:rPr>
          <w:rFonts w:ascii="Times New Roman" w:hAnsi="Times New Roman" w:cs="Times New Roman"/>
        </w:rPr>
        <w:t xml:space="preserve"> a custom ISP that could monitor communications via proxy. Each r/c would have a motel style room or efficiency apartment to live in.</w:t>
      </w:r>
    </w:p>
    <w:p w:rsidR="00FD3711" w:rsidRDefault="00FD3711" w:rsidP="006C34CD">
      <w:pPr>
        <w:spacing w:after="0"/>
        <w:jc w:val="both"/>
        <w:rPr>
          <w:rFonts w:ascii="Times New Roman" w:hAnsi="Times New Roman" w:cs="Times New Roman"/>
        </w:rPr>
      </w:pPr>
    </w:p>
    <w:p w:rsidR="00E8391C" w:rsidRPr="00E8391C" w:rsidRDefault="00FD3711" w:rsidP="00E8391C">
      <w:pPr>
        <w:spacing w:after="0"/>
        <w:jc w:val="both"/>
        <w:rPr>
          <w:rFonts w:ascii="Times New Roman" w:hAnsi="Times New Roman" w:cs="Times New Roman"/>
        </w:rPr>
      </w:pPr>
      <w:r>
        <w:rPr>
          <w:rFonts w:ascii="Times New Roman" w:hAnsi="Times New Roman" w:cs="Times New Roman"/>
        </w:rPr>
        <w:t xml:space="preserve">ANSWER: </w:t>
      </w:r>
      <w:r w:rsidR="00E8391C" w:rsidRPr="00E8391C">
        <w:rPr>
          <w:rFonts w:ascii="Times New Roman" w:hAnsi="Times New Roman" w:cs="Times New Roman"/>
        </w:rPr>
        <w:t xml:space="preserve">At this time I don't know any specific laws that would prevent us from being a landlord although some other restrictions may cause some difficulties in our ability to act as a landlord. </w:t>
      </w:r>
    </w:p>
    <w:p w:rsidR="00E8391C" w:rsidRPr="00E8391C" w:rsidRDefault="00E8391C" w:rsidP="00E8391C">
      <w:pPr>
        <w:spacing w:after="0"/>
        <w:jc w:val="both"/>
        <w:rPr>
          <w:rFonts w:ascii="Times New Roman" w:hAnsi="Times New Roman" w:cs="Times New Roman"/>
        </w:rPr>
      </w:pPr>
    </w:p>
    <w:p w:rsidR="00E8391C" w:rsidRPr="00E8391C" w:rsidRDefault="00E8391C" w:rsidP="00E8391C">
      <w:pPr>
        <w:spacing w:after="0"/>
        <w:jc w:val="both"/>
        <w:rPr>
          <w:rFonts w:ascii="Times New Roman" w:hAnsi="Times New Roman" w:cs="Times New Roman"/>
        </w:rPr>
      </w:pPr>
      <w:r w:rsidRPr="00E8391C">
        <w:rPr>
          <w:rFonts w:ascii="Times New Roman" w:hAnsi="Times New Roman" w:cs="Times New Roman"/>
        </w:rPr>
        <w:t xml:space="preserve">For example, there are some states that restrict where a registrant can work (in a few states, you can't work too close to a school) but if you rented out a house you own in a restriction zone, then you had to perform maintenance on it, then that may be a problem. Some states have laws that prohibit RCs from performing certain service jobs (such as realtor or home inspector), so it might prevent an RC from fixing up a rental property that is currently occupied. This can be rectified by hiring others to make repairs in the occupied rental property. Some states will prohibit you from working in any place designated as assisted living centers or nursing homes so you would be unable to set up a home for this purpose. You might not be allowed to rent out property if you're placed on supervised release as POs can make discretionary rules. </w:t>
      </w:r>
    </w:p>
    <w:p w:rsidR="00E8391C" w:rsidRPr="00E8391C" w:rsidRDefault="00E8391C" w:rsidP="00E8391C">
      <w:pPr>
        <w:spacing w:after="0"/>
        <w:jc w:val="both"/>
        <w:rPr>
          <w:rFonts w:ascii="Times New Roman" w:hAnsi="Times New Roman" w:cs="Times New Roman"/>
        </w:rPr>
      </w:pPr>
    </w:p>
    <w:p w:rsidR="00FD3711" w:rsidRPr="00B026BA" w:rsidRDefault="00E8391C" w:rsidP="00E8391C">
      <w:pPr>
        <w:spacing w:after="0"/>
        <w:jc w:val="both"/>
        <w:rPr>
          <w:rFonts w:ascii="Times New Roman" w:hAnsi="Times New Roman" w:cs="Times New Roman"/>
        </w:rPr>
      </w:pPr>
      <w:r w:rsidRPr="00E8391C">
        <w:rPr>
          <w:rFonts w:ascii="Times New Roman" w:hAnsi="Times New Roman" w:cs="Times New Roman"/>
        </w:rPr>
        <w:t xml:space="preserve">Now, some of this may be speculation since renting out property is a gray area. It may or may not be considered self-employment depending on a number of factors that vary </w:t>
      </w:r>
      <w:r>
        <w:rPr>
          <w:rFonts w:ascii="Times New Roman" w:hAnsi="Times New Roman" w:cs="Times New Roman"/>
        </w:rPr>
        <w:t xml:space="preserve">by state. However, </w:t>
      </w:r>
      <w:r w:rsidRPr="00E8391C">
        <w:rPr>
          <w:rFonts w:ascii="Times New Roman" w:hAnsi="Times New Roman" w:cs="Times New Roman"/>
        </w:rPr>
        <w:t xml:space="preserve">other registrants </w:t>
      </w:r>
      <w:r>
        <w:rPr>
          <w:rFonts w:ascii="Times New Roman" w:hAnsi="Times New Roman" w:cs="Times New Roman"/>
        </w:rPr>
        <w:t>have worked as landlords so it is possible. One notable example is landlord Randy Young.</w:t>
      </w:r>
      <w:r w:rsidRPr="00E8391C">
        <w:rPr>
          <w:rFonts w:ascii="Times New Roman" w:hAnsi="Times New Roman" w:cs="Times New Roman"/>
        </w:rPr>
        <w:t xml:space="preserve"> Young owns six houses near Da</w:t>
      </w:r>
      <w:r>
        <w:rPr>
          <w:rFonts w:ascii="Times New Roman" w:hAnsi="Times New Roman" w:cs="Times New Roman"/>
        </w:rPr>
        <w:t>de City (and many properties in a handful of counties in FL) that comply with local ordinance</w:t>
      </w:r>
      <w:r w:rsidRPr="00E8391C">
        <w:rPr>
          <w:rFonts w:ascii="Times New Roman" w:hAnsi="Times New Roman" w:cs="Times New Roman"/>
        </w:rPr>
        <w:t xml:space="preserve"> and rents i</w:t>
      </w:r>
      <w:r>
        <w:rPr>
          <w:rFonts w:ascii="Times New Roman" w:hAnsi="Times New Roman" w:cs="Times New Roman"/>
        </w:rPr>
        <w:t>ndividual rooms to RCs</w:t>
      </w:r>
      <w:r w:rsidRPr="00E8391C">
        <w:rPr>
          <w:rFonts w:ascii="Times New Roman" w:hAnsi="Times New Roman" w:cs="Times New Roman"/>
        </w:rPr>
        <w:t>. Each ho</w:t>
      </w:r>
      <w:r>
        <w:rPr>
          <w:rFonts w:ascii="Times New Roman" w:hAnsi="Times New Roman" w:cs="Times New Roman"/>
        </w:rPr>
        <w:t xml:space="preserve">use fits three people, Young told the Tampa Bay Times in 2016. </w:t>
      </w:r>
    </w:p>
    <w:sectPr w:rsidR="00FD3711" w:rsidRPr="00B026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BA" w:rsidRDefault="00B026BA" w:rsidP="00B026BA">
      <w:pPr>
        <w:spacing w:after="0" w:line="240" w:lineRule="auto"/>
      </w:pPr>
      <w:r>
        <w:separator/>
      </w:r>
    </w:p>
  </w:endnote>
  <w:endnote w:type="continuationSeparator" w:id="0">
    <w:p w:rsidR="00B026BA" w:rsidRDefault="00B026BA" w:rsidP="00B0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BA" w:rsidRDefault="00B026BA" w:rsidP="00B026BA">
      <w:pPr>
        <w:spacing w:after="0" w:line="240" w:lineRule="auto"/>
      </w:pPr>
      <w:r>
        <w:separator/>
      </w:r>
    </w:p>
  </w:footnote>
  <w:footnote w:type="continuationSeparator" w:id="0">
    <w:p w:rsidR="00B026BA" w:rsidRDefault="00B026BA" w:rsidP="00B0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BA" w:rsidRDefault="00AA7DA6" w:rsidP="00B026BA">
    <w:pPr>
      <w:pStyle w:val="Header"/>
      <w:pBdr>
        <w:bottom w:val="single" w:sz="4" w:space="1" w:color="D9D9D9" w:themeColor="background1" w:themeShade="D9"/>
      </w:pBdr>
      <w:tabs>
        <w:tab w:val="clear" w:pos="4680"/>
      </w:tabs>
      <w:rPr>
        <w:b/>
        <w:bCs/>
      </w:rPr>
    </w:pPr>
    <w:sdt>
      <w:sdtPr>
        <w:id w:val="1157804195"/>
        <w:docPartObj>
          <w:docPartGallery w:val="Page Numbers (Top of Page)"/>
          <w:docPartUnique/>
        </w:docPartObj>
      </w:sdtPr>
      <w:sdtEndPr>
        <w:rPr>
          <w:color w:val="808080" w:themeColor="background1" w:themeShade="80"/>
          <w:spacing w:val="60"/>
        </w:rPr>
      </w:sdtEndPr>
      <w:sdtContent>
        <w:r w:rsidR="00B026BA">
          <w:fldChar w:fldCharType="begin"/>
        </w:r>
        <w:r w:rsidR="00B026BA">
          <w:instrText xml:space="preserve"> PAGE   \* MERGEFORMAT </w:instrText>
        </w:r>
        <w:r w:rsidR="00B026BA">
          <w:fldChar w:fldCharType="separate"/>
        </w:r>
        <w:r w:rsidRPr="00AA7DA6">
          <w:rPr>
            <w:b/>
            <w:bCs/>
            <w:noProof/>
          </w:rPr>
          <w:t>2</w:t>
        </w:r>
        <w:r w:rsidR="00B026BA">
          <w:rPr>
            <w:b/>
            <w:bCs/>
            <w:noProof/>
          </w:rPr>
          <w:fldChar w:fldCharType="end"/>
        </w:r>
        <w:r w:rsidR="00B026BA">
          <w:rPr>
            <w:b/>
            <w:bCs/>
          </w:rPr>
          <w:t xml:space="preserve"> | </w:t>
        </w:r>
        <w:r w:rsidR="00B026BA">
          <w:rPr>
            <w:color w:val="808080" w:themeColor="background1" w:themeShade="80"/>
            <w:spacing w:val="60"/>
          </w:rPr>
          <w:t>Page</w:t>
        </w:r>
      </w:sdtContent>
    </w:sdt>
    <w:r w:rsidR="00B026BA">
      <w:rPr>
        <w:color w:val="808080" w:themeColor="background1" w:themeShade="80"/>
        <w:spacing w:val="60"/>
      </w:rPr>
      <w:tab/>
    </w:r>
    <w:proofErr w:type="spellStart"/>
    <w:r w:rsidR="00B026BA">
      <w:rPr>
        <w:color w:val="808080" w:themeColor="background1" w:themeShade="80"/>
        <w:spacing w:val="60"/>
      </w:rPr>
      <w:t>ICoN</w:t>
    </w:r>
    <w:proofErr w:type="spellEnd"/>
    <w:r w:rsidR="00B026BA">
      <w:rPr>
        <w:color w:val="808080" w:themeColor="background1" w:themeShade="80"/>
        <w:spacing w:val="60"/>
      </w:rPr>
      <w:t xml:space="preserve"> #80, JUNE 2022</w:t>
    </w:r>
  </w:p>
  <w:p w:rsidR="00B026BA" w:rsidRDefault="00B02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A"/>
    <w:rsid w:val="00093E18"/>
    <w:rsid w:val="00131D66"/>
    <w:rsid w:val="006C34CD"/>
    <w:rsid w:val="006C6141"/>
    <w:rsid w:val="007B0941"/>
    <w:rsid w:val="00870ECD"/>
    <w:rsid w:val="00AA7DA6"/>
    <w:rsid w:val="00B026BA"/>
    <w:rsid w:val="00C55400"/>
    <w:rsid w:val="00E625DA"/>
    <w:rsid w:val="00E8391C"/>
    <w:rsid w:val="00EC3F39"/>
    <w:rsid w:val="00F056E7"/>
    <w:rsid w:val="00F5016A"/>
    <w:rsid w:val="00FB4503"/>
    <w:rsid w:val="00F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BA"/>
  </w:style>
  <w:style w:type="paragraph" w:styleId="Footer">
    <w:name w:val="footer"/>
    <w:basedOn w:val="Normal"/>
    <w:link w:val="FooterChar"/>
    <w:uiPriority w:val="99"/>
    <w:unhideWhenUsed/>
    <w:rsid w:val="00B0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BA"/>
  </w:style>
  <w:style w:type="paragraph" w:styleId="Footer">
    <w:name w:val="footer"/>
    <w:basedOn w:val="Normal"/>
    <w:link w:val="FooterChar"/>
    <w:uiPriority w:val="99"/>
    <w:unhideWhenUsed/>
    <w:rsid w:val="00B0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2027</Words>
  <Characters>10485</Characters>
  <Application>Microsoft Office Word</Application>
  <DocSecurity>0</DocSecurity>
  <Lines>158</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6</cp:revision>
  <dcterms:created xsi:type="dcterms:W3CDTF">2022-04-27T13:10:00Z</dcterms:created>
  <dcterms:modified xsi:type="dcterms:W3CDTF">2022-05-27T00:30:00Z</dcterms:modified>
</cp:coreProperties>
</file>